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C9D7C" w14:textId="77777777" w:rsidR="00BA11F7" w:rsidRPr="00AD07FD" w:rsidRDefault="00BA11F7" w:rsidP="00AD07FD">
      <w:pPr>
        <w:rPr>
          <w:rFonts w:ascii="Arial" w:hAnsi="Arial" w:cs="Arial"/>
          <w:b/>
          <w:i/>
          <w:sz w:val="28"/>
          <w:szCs w:val="28"/>
        </w:rPr>
      </w:pPr>
      <w:r w:rsidRPr="00AD07FD">
        <w:rPr>
          <w:rFonts w:ascii="Arial" w:hAnsi="Arial" w:cs="Arial"/>
          <w:b/>
          <w:i/>
        </w:rPr>
        <w:t>Attachment 4 - Key Sites Clause 7.11 Compliance Table</w:t>
      </w:r>
    </w:p>
    <w:tbl>
      <w:tblPr>
        <w:tblStyle w:val="TableGrid"/>
        <w:tblW w:w="9142" w:type="dxa"/>
        <w:tblLook w:val="04A0" w:firstRow="1" w:lastRow="0" w:firstColumn="1" w:lastColumn="0" w:noHBand="0" w:noVBand="1"/>
      </w:tblPr>
      <w:tblGrid>
        <w:gridCol w:w="4389"/>
        <w:gridCol w:w="3403"/>
        <w:gridCol w:w="1350"/>
      </w:tblGrid>
      <w:tr w:rsidR="00BA11F7" w:rsidRPr="00822676" w14:paraId="0D334E59" w14:textId="77777777" w:rsidTr="00602F7C">
        <w:trPr>
          <w:tblHeader/>
        </w:trPr>
        <w:tc>
          <w:tcPr>
            <w:tcW w:w="4389" w:type="dxa"/>
          </w:tcPr>
          <w:p w14:paraId="177CBD1C" w14:textId="77777777" w:rsidR="00BA11F7" w:rsidRPr="00822676" w:rsidRDefault="00BA11F7" w:rsidP="00B078FB">
            <w:pPr>
              <w:overflowPunct w:val="0"/>
              <w:autoSpaceDE w:val="0"/>
              <w:autoSpaceDN w:val="0"/>
              <w:adjustRightInd w:val="0"/>
              <w:textAlignment w:val="baseline"/>
              <w:rPr>
                <w:rFonts w:ascii="Arial" w:hAnsi="Arial" w:cs="Arial"/>
                <w:b/>
                <w:sz w:val="20"/>
                <w:szCs w:val="20"/>
              </w:rPr>
            </w:pPr>
            <w:r w:rsidRPr="00822676">
              <w:rPr>
                <w:rFonts w:ascii="Arial" w:hAnsi="Arial" w:cs="Arial"/>
                <w:b/>
                <w:sz w:val="20"/>
                <w:szCs w:val="20"/>
              </w:rPr>
              <w:t>Clause 7.11 Objectives</w:t>
            </w:r>
          </w:p>
        </w:tc>
        <w:tc>
          <w:tcPr>
            <w:tcW w:w="3403" w:type="dxa"/>
          </w:tcPr>
          <w:p w14:paraId="276FA26E" w14:textId="77777777" w:rsidR="00BA11F7" w:rsidRPr="00822676" w:rsidRDefault="00BA11F7" w:rsidP="00B078FB">
            <w:pPr>
              <w:overflowPunct w:val="0"/>
              <w:autoSpaceDE w:val="0"/>
              <w:autoSpaceDN w:val="0"/>
              <w:adjustRightInd w:val="0"/>
              <w:textAlignment w:val="baseline"/>
              <w:rPr>
                <w:rFonts w:ascii="Arial" w:hAnsi="Arial" w:cs="Arial"/>
                <w:b/>
                <w:sz w:val="20"/>
                <w:szCs w:val="20"/>
              </w:rPr>
            </w:pPr>
            <w:r w:rsidRPr="00822676">
              <w:rPr>
                <w:rFonts w:ascii="Arial" w:hAnsi="Arial" w:cs="Arial"/>
                <w:b/>
                <w:sz w:val="20"/>
                <w:szCs w:val="20"/>
              </w:rPr>
              <w:t>Comment</w:t>
            </w:r>
          </w:p>
        </w:tc>
        <w:tc>
          <w:tcPr>
            <w:tcW w:w="1350" w:type="dxa"/>
          </w:tcPr>
          <w:p w14:paraId="00B725D7" w14:textId="77777777" w:rsidR="00BA11F7" w:rsidRPr="00822676" w:rsidRDefault="00BA11F7" w:rsidP="00B078FB">
            <w:pPr>
              <w:overflowPunct w:val="0"/>
              <w:autoSpaceDE w:val="0"/>
              <w:autoSpaceDN w:val="0"/>
              <w:adjustRightInd w:val="0"/>
              <w:ind w:left="746" w:hanging="746"/>
              <w:textAlignment w:val="baseline"/>
              <w:rPr>
                <w:rFonts w:ascii="Arial" w:hAnsi="Arial" w:cs="Arial"/>
                <w:b/>
                <w:sz w:val="20"/>
                <w:szCs w:val="20"/>
              </w:rPr>
            </w:pPr>
            <w:r w:rsidRPr="00822676">
              <w:rPr>
                <w:rFonts w:ascii="Arial" w:hAnsi="Arial" w:cs="Arial"/>
                <w:b/>
                <w:sz w:val="20"/>
                <w:szCs w:val="20"/>
              </w:rPr>
              <w:t>Compliance</w:t>
            </w:r>
          </w:p>
        </w:tc>
      </w:tr>
      <w:tr w:rsidR="00BA11F7" w:rsidRPr="00822676" w14:paraId="1A7B7D6A" w14:textId="77777777" w:rsidTr="00602F7C">
        <w:tc>
          <w:tcPr>
            <w:tcW w:w="4389" w:type="dxa"/>
          </w:tcPr>
          <w:p w14:paraId="04516A61" w14:textId="77777777" w:rsidR="00BA11F7" w:rsidRPr="00822676" w:rsidRDefault="00BA11F7" w:rsidP="00B078FB">
            <w:pPr>
              <w:overflowPunct w:val="0"/>
              <w:autoSpaceDE w:val="0"/>
              <w:autoSpaceDN w:val="0"/>
              <w:adjustRightInd w:val="0"/>
              <w:ind w:left="567" w:hanging="567"/>
              <w:jc w:val="both"/>
              <w:textAlignment w:val="baseline"/>
              <w:rPr>
                <w:rFonts w:ascii="Arial" w:hAnsi="Arial" w:cs="Arial"/>
                <w:sz w:val="20"/>
                <w:szCs w:val="20"/>
              </w:rPr>
            </w:pPr>
            <w:r w:rsidRPr="00822676">
              <w:rPr>
                <w:rFonts w:ascii="Arial" w:hAnsi="Arial" w:cs="Arial"/>
                <w:sz w:val="20"/>
                <w:szCs w:val="20"/>
              </w:rPr>
              <w:t>(1) (a) to deliver a high standard of design excellence for certain key sites in Wyong,</w:t>
            </w:r>
          </w:p>
        </w:tc>
        <w:tc>
          <w:tcPr>
            <w:tcW w:w="3403" w:type="dxa"/>
          </w:tcPr>
          <w:p w14:paraId="426AB323" w14:textId="77777777" w:rsidR="00BA11F7" w:rsidRPr="00822676" w:rsidRDefault="00BA11F7" w:rsidP="00B078FB">
            <w:pPr>
              <w:overflowPunct w:val="0"/>
              <w:autoSpaceDE w:val="0"/>
              <w:autoSpaceDN w:val="0"/>
              <w:adjustRightInd w:val="0"/>
              <w:jc w:val="both"/>
              <w:textAlignment w:val="baseline"/>
              <w:rPr>
                <w:rFonts w:ascii="Arial" w:hAnsi="Arial" w:cs="Arial"/>
                <w:sz w:val="20"/>
                <w:szCs w:val="20"/>
              </w:rPr>
            </w:pPr>
            <w:r w:rsidRPr="00822676">
              <w:rPr>
                <w:rFonts w:ascii="Arial" w:hAnsi="Arial" w:cs="Arial"/>
                <w:sz w:val="20"/>
                <w:szCs w:val="20"/>
              </w:rPr>
              <w:t>The architectural design and presentation of the building is not considered to represent design excellence</w:t>
            </w:r>
          </w:p>
        </w:tc>
        <w:tc>
          <w:tcPr>
            <w:tcW w:w="1350" w:type="dxa"/>
          </w:tcPr>
          <w:p w14:paraId="12672823" w14:textId="157EE34A" w:rsidR="00BA11F7" w:rsidRPr="00822676" w:rsidRDefault="00BA11F7" w:rsidP="00B078FB">
            <w:pPr>
              <w:overflowPunct w:val="0"/>
              <w:autoSpaceDE w:val="0"/>
              <w:autoSpaceDN w:val="0"/>
              <w:adjustRightInd w:val="0"/>
              <w:textAlignment w:val="baseline"/>
              <w:rPr>
                <w:rFonts w:ascii="Arial" w:hAnsi="Arial" w:cs="Arial"/>
                <w:sz w:val="20"/>
                <w:szCs w:val="20"/>
              </w:rPr>
            </w:pPr>
            <w:r w:rsidRPr="00822676">
              <w:rPr>
                <w:rFonts w:ascii="Arial" w:hAnsi="Arial" w:cs="Arial"/>
                <w:sz w:val="20"/>
                <w:szCs w:val="20"/>
              </w:rPr>
              <w:t>No</w:t>
            </w:r>
            <w:r w:rsidR="00460B7F">
              <w:rPr>
                <w:rFonts w:ascii="Arial" w:hAnsi="Arial" w:cs="Arial"/>
                <w:sz w:val="20"/>
                <w:szCs w:val="20"/>
              </w:rPr>
              <w:t xml:space="preserve"> – See Urban Design Assessment</w:t>
            </w:r>
          </w:p>
        </w:tc>
      </w:tr>
      <w:tr w:rsidR="00BA11F7" w:rsidRPr="00822676" w14:paraId="00F0F4A6" w14:textId="77777777" w:rsidTr="00602F7C">
        <w:tc>
          <w:tcPr>
            <w:tcW w:w="4389" w:type="dxa"/>
          </w:tcPr>
          <w:p w14:paraId="0E8715EA" w14:textId="77777777" w:rsidR="00BA11F7" w:rsidRPr="00822676" w:rsidRDefault="00BA11F7" w:rsidP="00BA11F7">
            <w:pPr>
              <w:numPr>
                <w:ilvl w:val="0"/>
                <w:numId w:val="1"/>
              </w:numPr>
              <w:overflowPunct w:val="0"/>
              <w:autoSpaceDE w:val="0"/>
              <w:autoSpaceDN w:val="0"/>
              <w:adjustRightInd w:val="0"/>
              <w:jc w:val="both"/>
              <w:textAlignment w:val="baseline"/>
              <w:rPr>
                <w:rFonts w:ascii="Arial" w:hAnsi="Arial" w:cs="Arial"/>
                <w:sz w:val="20"/>
                <w:szCs w:val="20"/>
              </w:rPr>
            </w:pPr>
            <w:r w:rsidRPr="00822676">
              <w:rPr>
                <w:rFonts w:ascii="Arial" w:hAnsi="Arial" w:cs="Arial"/>
                <w:sz w:val="20"/>
                <w:szCs w:val="20"/>
              </w:rPr>
              <w:t>to encourage the amalgamation of those key sites to provide opportunities for the expansion of, and improvements to, the public domain,</w:t>
            </w:r>
          </w:p>
        </w:tc>
        <w:tc>
          <w:tcPr>
            <w:tcW w:w="3403" w:type="dxa"/>
          </w:tcPr>
          <w:p w14:paraId="6F6073A4" w14:textId="77777777" w:rsidR="00BA11F7" w:rsidRPr="00822676" w:rsidRDefault="00BA11F7" w:rsidP="00B078FB">
            <w:pPr>
              <w:overflowPunct w:val="0"/>
              <w:autoSpaceDE w:val="0"/>
              <w:autoSpaceDN w:val="0"/>
              <w:adjustRightInd w:val="0"/>
              <w:jc w:val="both"/>
              <w:textAlignment w:val="baseline"/>
              <w:rPr>
                <w:rFonts w:ascii="Arial" w:hAnsi="Arial" w:cs="Arial"/>
                <w:sz w:val="20"/>
                <w:szCs w:val="20"/>
              </w:rPr>
            </w:pPr>
            <w:r w:rsidRPr="00822676">
              <w:rPr>
                <w:rFonts w:ascii="Arial" w:hAnsi="Arial" w:cs="Arial"/>
                <w:sz w:val="20"/>
                <w:szCs w:val="20"/>
              </w:rPr>
              <w:t>The ownership of the key site by Council achieves amalgamation and opportunities for the expansion of, and improvements to, the public domain,</w:t>
            </w:r>
          </w:p>
        </w:tc>
        <w:tc>
          <w:tcPr>
            <w:tcW w:w="1350" w:type="dxa"/>
          </w:tcPr>
          <w:p w14:paraId="62415F46" w14:textId="77777777" w:rsidR="00BA11F7" w:rsidRPr="00822676" w:rsidRDefault="00BA11F7" w:rsidP="00B078FB">
            <w:pPr>
              <w:overflowPunct w:val="0"/>
              <w:autoSpaceDE w:val="0"/>
              <w:autoSpaceDN w:val="0"/>
              <w:adjustRightInd w:val="0"/>
              <w:textAlignment w:val="baseline"/>
              <w:rPr>
                <w:rFonts w:ascii="Arial" w:hAnsi="Arial" w:cs="Arial"/>
                <w:sz w:val="20"/>
                <w:szCs w:val="20"/>
              </w:rPr>
            </w:pPr>
            <w:r w:rsidRPr="00822676">
              <w:rPr>
                <w:rFonts w:ascii="Arial" w:hAnsi="Arial" w:cs="Arial"/>
                <w:sz w:val="20"/>
                <w:szCs w:val="20"/>
              </w:rPr>
              <w:t>Yes</w:t>
            </w:r>
          </w:p>
        </w:tc>
      </w:tr>
      <w:tr w:rsidR="00BA11F7" w:rsidRPr="00822676" w14:paraId="4EC83221" w14:textId="77777777" w:rsidTr="00602F7C">
        <w:tc>
          <w:tcPr>
            <w:tcW w:w="4389" w:type="dxa"/>
          </w:tcPr>
          <w:p w14:paraId="36E62D37" w14:textId="77777777" w:rsidR="00BA11F7" w:rsidRPr="00822676" w:rsidRDefault="00BA11F7" w:rsidP="00BA11F7">
            <w:pPr>
              <w:numPr>
                <w:ilvl w:val="0"/>
                <w:numId w:val="1"/>
              </w:numPr>
              <w:overflowPunct w:val="0"/>
              <w:autoSpaceDE w:val="0"/>
              <w:autoSpaceDN w:val="0"/>
              <w:adjustRightInd w:val="0"/>
              <w:jc w:val="both"/>
              <w:textAlignment w:val="baseline"/>
              <w:rPr>
                <w:rFonts w:ascii="Arial" w:hAnsi="Arial" w:cs="Arial"/>
                <w:sz w:val="20"/>
                <w:szCs w:val="20"/>
              </w:rPr>
            </w:pPr>
            <w:r w:rsidRPr="00822676">
              <w:rPr>
                <w:rFonts w:ascii="Arial" w:hAnsi="Arial" w:cs="Arial"/>
                <w:sz w:val="20"/>
                <w:szCs w:val="20"/>
              </w:rPr>
              <w:t>to provide a catalyst for the social and economic development of centres within Wyong,</w:t>
            </w:r>
          </w:p>
        </w:tc>
        <w:tc>
          <w:tcPr>
            <w:tcW w:w="3403" w:type="dxa"/>
          </w:tcPr>
          <w:p w14:paraId="37617791" w14:textId="77777777" w:rsidR="00BA11F7" w:rsidRPr="00822676" w:rsidRDefault="00BA11F7" w:rsidP="00B078FB">
            <w:pPr>
              <w:overflowPunct w:val="0"/>
              <w:autoSpaceDE w:val="0"/>
              <w:autoSpaceDN w:val="0"/>
              <w:adjustRightInd w:val="0"/>
              <w:jc w:val="both"/>
              <w:textAlignment w:val="baseline"/>
              <w:rPr>
                <w:rFonts w:ascii="Arial" w:hAnsi="Arial" w:cs="Arial"/>
                <w:sz w:val="20"/>
                <w:szCs w:val="20"/>
              </w:rPr>
            </w:pPr>
            <w:r w:rsidRPr="00822676">
              <w:rPr>
                <w:rFonts w:ascii="Arial" w:hAnsi="Arial" w:cs="Arial"/>
                <w:sz w:val="20"/>
                <w:szCs w:val="20"/>
              </w:rPr>
              <w:t>The development will provide a catalyst for growth and development within the Entrance Town Centre.</w:t>
            </w:r>
          </w:p>
        </w:tc>
        <w:tc>
          <w:tcPr>
            <w:tcW w:w="1350" w:type="dxa"/>
          </w:tcPr>
          <w:p w14:paraId="3134B9C9" w14:textId="77777777" w:rsidR="00BA11F7" w:rsidRPr="00822676" w:rsidRDefault="00BA11F7" w:rsidP="00B078FB">
            <w:pPr>
              <w:overflowPunct w:val="0"/>
              <w:autoSpaceDE w:val="0"/>
              <w:autoSpaceDN w:val="0"/>
              <w:adjustRightInd w:val="0"/>
              <w:textAlignment w:val="baseline"/>
              <w:rPr>
                <w:rFonts w:ascii="Arial" w:hAnsi="Arial" w:cs="Arial"/>
                <w:sz w:val="20"/>
                <w:szCs w:val="20"/>
              </w:rPr>
            </w:pPr>
            <w:r w:rsidRPr="00822676">
              <w:rPr>
                <w:rFonts w:ascii="Arial" w:hAnsi="Arial" w:cs="Arial"/>
                <w:sz w:val="20"/>
                <w:szCs w:val="20"/>
              </w:rPr>
              <w:t>Yes</w:t>
            </w:r>
          </w:p>
        </w:tc>
      </w:tr>
      <w:tr w:rsidR="00BA11F7" w:rsidRPr="00822676" w14:paraId="5135B320" w14:textId="77777777" w:rsidTr="00602F7C">
        <w:tc>
          <w:tcPr>
            <w:tcW w:w="4389" w:type="dxa"/>
          </w:tcPr>
          <w:p w14:paraId="7137FB38" w14:textId="77777777" w:rsidR="00BA11F7" w:rsidRPr="00822676" w:rsidRDefault="00BA11F7" w:rsidP="00BA11F7">
            <w:pPr>
              <w:numPr>
                <w:ilvl w:val="0"/>
                <w:numId w:val="1"/>
              </w:numPr>
              <w:overflowPunct w:val="0"/>
              <w:autoSpaceDE w:val="0"/>
              <w:autoSpaceDN w:val="0"/>
              <w:adjustRightInd w:val="0"/>
              <w:jc w:val="both"/>
              <w:textAlignment w:val="baseline"/>
              <w:rPr>
                <w:rFonts w:ascii="Arial" w:hAnsi="Arial" w:cs="Arial"/>
                <w:sz w:val="20"/>
                <w:szCs w:val="20"/>
              </w:rPr>
            </w:pPr>
            <w:r w:rsidRPr="00822676">
              <w:rPr>
                <w:rFonts w:ascii="Arial" w:hAnsi="Arial" w:cs="Arial"/>
                <w:sz w:val="20"/>
                <w:szCs w:val="20"/>
              </w:rPr>
              <w:t>to deliver significant public benefit to the community.</w:t>
            </w:r>
          </w:p>
        </w:tc>
        <w:tc>
          <w:tcPr>
            <w:tcW w:w="3403" w:type="dxa"/>
          </w:tcPr>
          <w:p w14:paraId="1C3BDC9B" w14:textId="2622AC93" w:rsidR="00BA11F7" w:rsidRPr="00822676" w:rsidRDefault="00BA11F7" w:rsidP="008D06BE">
            <w:pPr>
              <w:overflowPunct w:val="0"/>
              <w:autoSpaceDE w:val="0"/>
              <w:autoSpaceDN w:val="0"/>
              <w:adjustRightInd w:val="0"/>
              <w:jc w:val="both"/>
              <w:textAlignment w:val="baseline"/>
              <w:rPr>
                <w:rFonts w:ascii="Arial" w:hAnsi="Arial" w:cs="Arial"/>
                <w:sz w:val="20"/>
                <w:szCs w:val="20"/>
              </w:rPr>
            </w:pPr>
            <w:r w:rsidRPr="00822676">
              <w:rPr>
                <w:rFonts w:ascii="Arial" w:hAnsi="Arial" w:cs="Arial"/>
                <w:sz w:val="20"/>
                <w:szCs w:val="20"/>
              </w:rPr>
              <w:t>The proposal is associated with some public</w:t>
            </w:r>
            <w:r w:rsidR="008D06BE">
              <w:rPr>
                <w:rFonts w:ascii="Arial" w:hAnsi="Arial" w:cs="Arial"/>
                <w:sz w:val="20"/>
                <w:szCs w:val="20"/>
              </w:rPr>
              <w:t xml:space="preserve"> </w:t>
            </w:r>
            <w:r w:rsidRPr="00822676">
              <w:rPr>
                <w:rFonts w:ascii="Arial" w:hAnsi="Arial" w:cs="Arial"/>
                <w:sz w:val="20"/>
                <w:szCs w:val="20"/>
              </w:rPr>
              <w:t>benefit although significant public benefit as envisaged by the planning controls has not been provided.</w:t>
            </w:r>
          </w:p>
        </w:tc>
        <w:tc>
          <w:tcPr>
            <w:tcW w:w="1350" w:type="dxa"/>
          </w:tcPr>
          <w:p w14:paraId="3F8AF715" w14:textId="453CDB7E" w:rsidR="00BA11F7" w:rsidRPr="00822676" w:rsidRDefault="00BA11F7" w:rsidP="00B078FB">
            <w:pPr>
              <w:overflowPunct w:val="0"/>
              <w:autoSpaceDE w:val="0"/>
              <w:autoSpaceDN w:val="0"/>
              <w:adjustRightInd w:val="0"/>
              <w:textAlignment w:val="baseline"/>
              <w:rPr>
                <w:rFonts w:ascii="Arial" w:hAnsi="Arial" w:cs="Arial"/>
                <w:sz w:val="20"/>
                <w:szCs w:val="20"/>
              </w:rPr>
            </w:pPr>
            <w:r w:rsidRPr="00822676">
              <w:rPr>
                <w:rFonts w:ascii="Arial" w:hAnsi="Arial" w:cs="Arial"/>
                <w:sz w:val="20"/>
                <w:szCs w:val="20"/>
              </w:rPr>
              <w:t>No</w:t>
            </w:r>
            <w:r w:rsidR="00076099">
              <w:rPr>
                <w:rFonts w:ascii="Arial" w:hAnsi="Arial" w:cs="Arial"/>
                <w:sz w:val="20"/>
                <w:szCs w:val="20"/>
              </w:rPr>
              <w:t xml:space="preserve">/ </w:t>
            </w:r>
            <w:r w:rsidR="00AD07FD">
              <w:rPr>
                <w:rFonts w:ascii="Arial" w:hAnsi="Arial" w:cs="Arial"/>
                <w:sz w:val="20"/>
                <w:szCs w:val="20"/>
              </w:rPr>
              <w:t>c</w:t>
            </w:r>
            <w:r w:rsidR="00076099">
              <w:rPr>
                <w:rFonts w:ascii="Arial" w:hAnsi="Arial" w:cs="Arial"/>
                <w:sz w:val="20"/>
                <w:szCs w:val="20"/>
              </w:rPr>
              <w:t>ould be provided at Stage 2 DA</w:t>
            </w:r>
          </w:p>
        </w:tc>
      </w:tr>
      <w:tr w:rsidR="00BA11F7" w:rsidRPr="00822676" w14:paraId="4CA56081" w14:textId="77777777" w:rsidTr="00602F7C">
        <w:tc>
          <w:tcPr>
            <w:tcW w:w="4389" w:type="dxa"/>
          </w:tcPr>
          <w:p w14:paraId="1425ABF1" w14:textId="77777777" w:rsidR="00BA11F7" w:rsidRPr="00822676" w:rsidRDefault="00BA11F7" w:rsidP="00B078FB">
            <w:pPr>
              <w:overflowPunct w:val="0"/>
              <w:autoSpaceDE w:val="0"/>
              <w:autoSpaceDN w:val="0"/>
              <w:adjustRightInd w:val="0"/>
              <w:ind w:left="284" w:hanging="284"/>
              <w:textAlignment w:val="baseline"/>
              <w:rPr>
                <w:rFonts w:ascii="Arial" w:hAnsi="Arial" w:cs="Arial"/>
                <w:sz w:val="20"/>
                <w:szCs w:val="20"/>
              </w:rPr>
            </w:pPr>
            <w:r w:rsidRPr="00822676">
              <w:rPr>
                <w:rFonts w:ascii="Arial" w:hAnsi="Arial" w:cs="Arial"/>
                <w:sz w:val="20"/>
                <w:szCs w:val="20"/>
              </w:rPr>
              <w:t>(2) This clause applies to land identified as “Key Site” on the Key Sites Map</w:t>
            </w:r>
          </w:p>
        </w:tc>
        <w:tc>
          <w:tcPr>
            <w:tcW w:w="3403" w:type="dxa"/>
          </w:tcPr>
          <w:p w14:paraId="044203D0" w14:textId="77777777" w:rsidR="00BA11F7" w:rsidRPr="00822676" w:rsidRDefault="00BA11F7" w:rsidP="00B078FB">
            <w:pPr>
              <w:overflowPunct w:val="0"/>
              <w:autoSpaceDE w:val="0"/>
              <w:autoSpaceDN w:val="0"/>
              <w:adjustRightInd w:val="0"/>
              <w:jc w:val="both"/>
              <w:textAlignment w:val="baseline"/>
              <w:rPr>
                <w:rFonts w:ascii="Arial" w:hAnsi="Arial" w:cs="Arial"/>
                <w:sz w:val="20"/>
                <w:szCs w:val="20"/>
              </w:rPr>
            </w:pPr>
            <w:r w:rsidRPr="00822676">
              <w:rPr>
                <w:rFonts w:ascii="Arial" w:hAnsi="Arial" w:cs="Arial"/>
                <w:sz w:val="20"/>
                <w:szCs w:val="20"/>
              </w:rPr>
              <w:t>The site is only partially identified as a key site.  The closed road portions of the site are not identified as “Key Site”</w:t>
            </w:r>
          </w:p>
        </w:tc>
        <w:tc>
          <w:tcPr>
            <w:tcW w:w="1350" w:type="dxa"/>
          </w:tcPr>
          <w:p w14:paraId="7398EC12" w14:textId="07FD0CF0" w:rsidR="00BA11F7" w:rsidRPr="00822676" w:rsidRDefault="00BA11F7" w:rsidP="00B078FB">
            <w:pPr>
              <w:overflowPunct w:val="0"/>
              <w:autoSpaceDE w:val="0"/>
              <w:autoSpaceDN w:val="0"/>
              <w:adjustRightInd w:val="0"/>
              <w:textAlignment w:val="baseline"/>
              <w:rPr>
                <w:rFonts w:ascii="Arial" w:hAnsi="Arial" w:cs="Arial"/>
                <w:sz w:val="20"/>
                <w:szCs w:val="20"/>
              </w:rPr>
            </w:pPr>
            <w:r w:rsidRPr="00822676">
              <w:rPr>
                <w:rFonts w:ascii="Arial" w:hAnsi="Arial" w:cs="Arial"/>
                <w:sz w:val="20"/>
                <w:szCs w:val="20"/>
              </w:rPr>
              <w:t>No</w:t>
            </w:r>
            <w:r w:rsidR="00460B7F">
              <w:rPr>
                <w:rFonts w:ascii="Arial" w:hAnsi="Arial" w:cs="Arial"/>
                <w:sz w:val="20"/>
                <w:szCs w:val="20"/>
              </w:rPr>
              <w:t xml:space="preserve">, additional height limited to key site lands identified. </w:t>
            </w:r>
          </w:p>
        </w:tc>
      </w:tr>
      <w:tr w:rsidR="00BA11F7" w:rsidRPr="00822676" w14:paraId="619EA1E8" w14:textId="77777777" w:rsidTr="00602F7C">
        <w:tc>
          <w:tcPr>
            <w:tcW w:w="4389" w:type="dxa"/>
          </w:tcPr>
          <w:p w14:paraId="7F741957" w14:textId="77777777" w:rsidR="00BA11F7" w:rsidRPr="00822676" w:rsidRDefault="00BA11F7" w:rsidP="00B078FB">
            <w:pPr>
              <w:overflowPunct w:val="0"/>
              <w:autoSpaceDE w:val="0"/>
              <w:autoSpaceDN w:val="0"/>
              <w:adjustRightInd w:val="0"/>
              <w:ind w:left="284" w:hanging="284"/>
              <w:textAlignment w:val="baseline"/>
              <w:rPr>
                <w:rFonts w:ascii="Arial" w:hAnsi="Arial" w:cs="Arial"/>
                <w:sz w:val="20"/>
                <w:szCs w:val="20"/>
              </w:rPr>
            </w:pPr>
            <w:r w:rsidRPr="00822676">
              <w:rPr>
                <w:rFonts w:ascii="Arial" w:hAnsi="Arial" w:cs="Arial"/>
                <w:sz w:val="20"/>
                <w:szCs w:val="20"/>
              </w:rPr>
              <w:t>(3) Despite clause 4.3, the maximum height for a building on land to which this clause applies is the height shown on the Key Sites Map in relation to that land if the consent authority is satisfied that a development control plan that provides for the following matters has been prepared for the land that is the subject of the development application:</w:t>
            </w:r>
          </w:p>
        </w:tc>
        <w:tc>
          <w:tcPr>
            <w:tcW w:w="3403" w:type="dxa"/>
          </w:tcPr>
          <w:p w14:paraId="23FD0EB3" w14:textId="08805C3F" w:rsidR="00BA11F7" w:rsidRPr="00822676" w:rsidRDefault="00BA11F7" w:rsidP="00B078FB">
            <w:pPr>
              <w:overflowPunct w:val="0"/>
              <w:autoSpaceDE w:val="0"/>
              <w:autoSpaceDN w:val="0"/>
              <w:adjustRightInd w:val="0"/>
              <w:jc w:val="both"/>
              <w:textAlignment w:val="baseline"/>
              <w:rPr>
                <w:rFonts w:ascii="Arial" w:hAnsi="Arial" w:cs="Arial"/>
                <w:b/>
                <w:sz w:val="20"/>
                <w:szCs w:val="20"/>
              </w:rPr>
            </w:pPr>
            <w:r w:rsidRPr="00822676">
              <w:rPr>
                <w:rFonts w:ascii="Arial" w:hAnsi="Arial" w:cs="Arial"/>
                <w:sz w:val="20"/>
                <w:szCs w:val="20"/>
              </w:rPr>
              <w:t xml:space="preserve">The proposal includes the bonus height as shown on the Key Sites map for the site </w:t>
            </w:r>
            <w:r w:rsidR="00460B7F">
              <w:rPr>
                <w:rFonts w:ascii="Arial" w:hAnsi="Arial" w:cs="Arial"/>
                <w:sz w:val="20"/>
                <w:szCs w:val="20"/>
              </w:rPr>
              <w:t>only within the main body of the site</w:t>
            </w:r>
            <w:r w:rsidRPr="00822676">
              <w:rPr>
                <w:rFonts w:ascii="Arial" w:hAnsi="Arial" w:cs="Arial"/>
                <w:sz w:val="20"/>
                <w:szCs w:val="20"/>
              </w:rPr>
              <w:t xml:space="preserve">.  A DCP has not been prepared for the site, the provisions of Section 4.22 of the Act </w:t>
            </w:r>
            <w:proofErr w:type="gramStart"/>
            <w:r w:rsidRPr="00822676">
              <w:rPr>
                <w:rFonts w:ascii="Arial" w:hAnsi="Arial" w:cs="Arial"/>
                <w:sz w:val="20"/>
                <w:szCs w:val="20"/>
              </w:rPr>
              <w:t>allows</w:t>
            </w:r>
            <w:proofErr w:type="gramEnd"/>
            <w:r w:rsidRPr="00822676">
              <w:rPr>
                <w:rFonts w:ascii="Arial" w:hAnsi="Arial" w:cs="Arial"/>
                <w:sz w:val="20"/>
                <w:szCs w:val="20"/>
              </w:rPr>
              <w:t xml:space="preserve"> for the lodgement of a staged application instead of preparation of a DCP. The application has failed to demonstrate that the nominated matters have been addressed within the s</w:t>
            </w:r>
            <w:r w:rsidR="008D06BE">
              <w:rPr>
                <w:rFonts w:ascii="Arial" w:hAnsi="Arial" w:cs="Arial"/>
                <w:sz w:val="20"/>
                <w:szCs w:val="20"/>
              </w:rPr>
              <w:t>u</w:t>
            </w:r>
            <w:r w:rsidRPr="00822676">
              <w:rPr>
                <w:rFonts w:ascii="Arial" w:hAnsi="Arial" w:cs="Arial"/>
                <w:sz w:val="20"/>
                <w:szCs w:val="20"/>
              </w:rPr>
              <w:t>bmitted information for the Staged DA</w:t>
            </w:r>
          </w:p>
        </w:tc>
        <w:tc>
          <w:tcPr>
            <w:tcW w:w="1350" w:type="dxa"/>
          </w:tcPr>
          <w:p w14:paraId="3E29B8AD" w14:textId="77777777" w:rsidR="00BA11F7" w:rsidRPr="00822676" w:rsidRDefault="00BA11F7" w:rsidP="00B078FB">
            <w:pPr>
              <w:overflowPunct w:val="0"/>
              <w:autoSpaceDE w:val="0"/>
              <w:autoSpaceDN w:val="0"/>
              <w:adjustRightInd w:val="0"/>
              <w:textAlignment w:val="baseline"/>
              <w:rPr>
                <w:rFonts w:ascii="Arial" w:hAnsi="Arial" w:cs="Arial"/>
                <w:sz w:val="20"/>
                <w:szCs w:val="20"/>
              </w:rPr>
            </w:pPr>
            <w:r w:rsidRPr="00822676">
              <w:rPr>
                <w:rFonts w:ascii="Arial" w:hAnsi="Arial" w:cs="Arial"/>
                <w:sz w:val="20"/>
                <w:szCs w:val="20"/>
              </w:rPr>
              <w:t>No</w:t>
            </w:r>
          </w:p>
        </w:tc>
      </w:tr>
      <w:tr w:rsidR="00BA11F7" w:rsidRPr="00822676" w14:paraId="6E8E3ACA" w14:textId="77777777" w:rsidTr="00602F7C">
        <w:tc>
          <w:tcPr>
            <w:tcW w:w="4389" w:type="dxa"/>
          </w:tcPr>
          <w:p w14:paraId="1DB6320D" w14:textId="77777777" w:rsidR="00BA11F7" w:rsidRPr="00822676" w:rsidRDefault="00BA11F7" w:rsidP="00BA11F7">
            <w:pPr>
              <w:numPr>
                <w:ilvl w:val="0"/>
                <w:numId w:val="2"/>
              </w:numPr>
              <w:overflowPunct w:val="0"/>
              <w:autoSpaceDE w:val="0"/>
              <w:autoSpaceDN w:val="0"/>
              <w:adjustRightInd w:val="0"/>
              <w:textAlignment w:val="baseline"/>
              <w:rPr>
                <w:rFonts w:ascii="Arial" w:hAnsi="Arial" w:cs="Arial"/>
                <w:sz w:val="20"/>
                <w:szCs w:val="20"/>
              </w:rPr>
            </w:pPr>
            <w:r w:rsidRPr="00822676">
              <w:rPr>
                <w:rFonts w:ascii="Arial" w:hAnsi="Arial" w:cs="Arial"/>
                <w:sz w:val="20"/>
                <w:szCs w:val="20"/>
              </w:rPr>
              <w:t>the application of the principles of ecologically sustainable development,</w:t>
            </w:r>
          </w:p>
        </w:tc>
        <w:tc>
          <w:tcPr>
            <w:tcW w:w="3403" w:type="dxa"/>
          </w:tcPr>
          <w:p w14:paraId="71AADE5B" w14:textId="77777777" w:rsidR="00BA11F7" w:rsidRPr="00822676" w:rsidRDefault="00BA11F7" w:rsidP="00B078FB">
            <w:pPr>
              <w:overflowPunct w:val="0"/>
              <w:autoSpaceDE w:val="0"/>
              <w:autoSpaceDN w:val="0"/>
              <w:adjustRightInd w:val="0"/>
              <w:jc w:val="both"/>
              <w:textAlignment w:val="baseline"/>
              <w:rPr>
                <w:rFonts w:ascii="Arial" w:hAnsi="Arial" w:cs="Arial"/>
                <w:sz w:val="20"/>
                <w:szCs w:val="20"/>
              </w:rPr>
            </w:pPr>
            <w:r w:rsidRPr="00822676">
              <w:rPr>
                <w:rFonts w:ascii="Arial" w:hAnsi="Arial" w:cs="Arial"/>
                <w:sz w:val="20"/>
                <w:szCs w:val="20"/>
              </w:rPr>
              <w:t>Refer below. Further details could be provided with the DA’s for the future operational</w:t>
            </w:r>
          </w:p>
          <w:p w14:paraId="43214DC2" w14:textId="77777777" w:rsidR="00BA11F7" w:rsidRPr="00822676" w:rsidRDefault="00BA11F7" w:rsidP="00B078FB">
            <w:pPr>
              <w:overflowPunct w:val="0"/>
              <w:autoSpaceDE w:val="0"/>
              <w:autoSpaceDN w:val="0"/>
              <w:adjustRightInd w:val="0"/>
              <w:jc w:val="both"/>
              <w:textAlignment w:val="baseline"/>
              <w:rPr>
                <w:rFonts w:ascii="Arial" w:hAnsi="Arial" w:cs="Arial"/>
                <w:b/>
                <w:sz w:val="20"/>
                <w:szCs w:val="20"/>
              </w:rPr>
            </w:pPr>
            <w:r w:rsidRPr="00822676">
              <w:rPr>
                <w:rFonts w:ascii="Arial" w:hAnsi="Arial" w:cs="Arial"/>
                <w:sz w:val="20"/>
                <w:szCs w:val="20"/>
              </w:rPr>
              <w:t>stages of the development.</w:t>
            </w:r>
          </w:p>
        </w:tc>
        <w:tc>
          <w:tcPr>
            <w:tcW w:w="1350" w:type="dxa"/>
          </w:tcPr>
          <w:p w14:paraId="6FB0D953" w14:textId="77777777" w:rsidR="00BA11F7" w:rsidRPr="00822676" w:rsidRDefault="00BA11F7" w:rsidP="00B078FB">
            <w:pPr>
              <w:overflowPunct w:val="0"/>
              <w:autoSpaceDE w:val="0"/>
              <w:autoSpaceDN w:val="0"/>
              <w:adjustRightInd w:val="0"/>
              <w:textAlignment w:val="baseline"/>
              <w:rPr>
                <w:rFonts w:ascii="Arial" w:hAnsi="Arial" w:cs="Arial"/>
                <w:sz w:val="20"/>
                <w:szCs w:val="20"/>
              </w:rPr>
            </w:pPr>
            <w:r w:rsidRPr="00822676">
              <w:rPr>
                <w:rFonts w:ascii="Arial" w:hAnsi="Arial" w:cs="Arial"/>
                <w:sz w:val="20"/>
                <w:szCs w:val="20"/>
              </w:rPr>
              <w:t>Capable of compliance</w:t>
            </w:r>
          </w:p>
        </w:tc>
      </w:tr>
      <w:tr w:rsidR="00BA11F7" w:rsidRPr="00822676" w14:paraId="78681749" w14:textId="77777777" w:rsidTr="00602F7C">
        <w:tc>
          <w:tcPr>
            <w:tcW w:w="4389" w:type="dxa"/>
          </w:tcPr>
          <w:p w14:paraId="6172381D" w14:textId="77777777" w:rsidR="00BA11F7" w:rsidRPr="00822676" w:rsidRDefault="00BA11F7" w:rsidP="00BA11F7">
            <w:pPr>
              <w:numPr>
                <w:ilvl w:val="0"/>
                <w:numId w:val="3"/>
              </w:numPr>
              <w:overflowPunct w:val="0"/>
              <w:autoSpaceDE w:val="0"/>
              <w:autoSpaceDN w:val="0"/>
              <w:adjustRightInd w:val="0"/>
              <w:textAlignment w:val="baseline"/>
              <w:rPr>
                <w:rFonts w:ascii="Arial" w:hAnsi="Arial" w:cs="Arial"/>
                <w:sz w:val="20"/>
                <w:szCs w:val="20"/>
              </w:rPr>
            </w:pPr>
            <w:r w:rsidRPr="00822676">
              <w:rPr>
                <w:rFonts w:ascii="Arial" w:hAnsi="Arial" w:cs="Arial"/>
                <w:sz w:val="20"/>
                <w:szCs w:val="20"/>
              </w:rPr>
              <w:t xml:space="preserve">green building solutions, </w:t>
            </w:r>
            <w:proofErr w:type="gramStart"/>
            <w:r w:rsidRPr="00822676">
              <w:rPr>
                <w:rFonts w:ascii="Arial" w:hAnsi="Arial" w:cs="Arial"/>
                <w:sz w:val="20"/>
                <w:szCs w:val="20"/>
              </w:rPr>
              <w:t>In</w:t>
            </w:r>
            <w:proofErr w:type="gramEnd"/>
            <w:r w:rsidRPr="00822676">
              <w:rPr>
                <w:rFonts w:ascii="Arial" w:hAnsi="Arial" w:cs="Arial"/>
                <w:sz w:val="20"/>
                <w:szCs w:val="20"/>
              </w:rPr>
              <w:t xml:space="preserve"> this clause, green building solution means a design, construction or operational solution that significantly reduces or eliminates the negative impact of the building to which it relates on the environment and includes strategies for addressing the following matters: </w:t>
            </w:r>
          </w:p>
          <w:p w14:paraId="75DF9D8E" w14:textId="77777777" w:rsidR="00BA11F7" w:rsidRPr="00822676" w:rsidRDefault="00BA11F7" w:rsidP="00BA11F7">
            <w:pPr>
              <w:numPr>
                <w:ilvl w:val="0"/>
                <w:numId w:val="4"/>
              </w:numPr>
              <w:overflowPunct w:val="0"/>
              <w:autoSpaceDE w:val="0"/>
              <w:autoSpaceDN w:val="0"/>
              <w:adjustRightInd w:val="0"/>
              <w:textAlignment w:val="baseline"/>
              <w:rPr>
                <w:rFonts w:ascii="Arial" w:hAnsi="Arial" w:cs="Arial"/>
                <w:sz w:val="20"/>
                <w:szCs w:val="20"/>
              </w:rPr>
            </w:pPr>
            <w:r w:rsidRPr="00822676">
              <w:rPr>
                <w:rFonts w:ascii="Arial" w:hAnsi="Arial" w:cs="Arial"/>
                <w:sz w:val="20"/>
                <w:szCs w:val="20"/>
              </w:rPr>
              <w:t>energy efficiency,</w:t>
            </w:r>
          </w:p>
          <w:p w14:paraId="1EAC3571" w14:textId="77777777" w:rsidR="00BA11F7" w:rsidRPr="00822676" w:rsidRDefault="00BA11F7" w:rsidP="00BA11F7">
            <w:pPr>
              <w:numPr>
                <w:ilvl w:val="0"/>
                <w:numId w:val="4"/>
              </w:numPr>
              <w:overflowPunct w:val="0"/>
              <w:autoSpaceDE w:val="0"/>
              <w:autoSpaceDN w:val="0"/>
              <w:adjustRightInd w:val="0"/>
              <w:textAlignment w:val="baseline"/>
              <w:rPr>
                <w:rFonts w:ascii="Arial" w:hAnsi="Arial" w:cs="Arial"/>
                <w:sz w:val="20"/>
                <w:szCs w:val="20"/>
              </w:rPr>
            </w:pPr>
            <w:r w:rsidRPr="00822676">
              <w:rPr>
                <w:rFonts w:ascii="Arial" w:hAnsi="Arial" w:cs="Arial"/>
                <w:sz w:val="20"/>
                <w:szCs w:val="20"/>
              </w:rPr>
              <w:t xml:space="preserve">greenhouse gas emission abatement, </w:t>
            </w:r>
          </w:p>
          <w:p w14:paraId="4F8AF668" w14:textId="77777777" w:rsidR="00BA11F7" w:rsidRPr="00822676" w:rsidRDefault="00BA11F7" w:rsidP="00BA11F7">
            <w:pPr>
              <w:numPr>
                <w:ilvl w:val="0"/>
                <w:numId w:val="4"/>
              </w:numPr>
              <w:overflowPunct w:val="0"/>
              <w:autoSpaceDE w:val="0"/>
              <w:autoSpaceDN w:val="0"/>
              <w:adjustRightInd w:val="0"/>
              <w:textAlignment w:val="baseline"/>
              <w:rPr>
                <w:rFonts w:ascii="Arial" w:hAnsi="Arial" w:cs="Arial"/>
                <w:sz w:val="20"/>
                <w:szCs w:val="20"/>
              </w:rPr>
            </w:pPr>
            <w:r w:rsidRPr="00822676">
              <w:rPr>
                <w:rFonts w:ascii="Arial" w:hAnsi="Arial" w:cs="Arial"/>
                <w:sz w:val="20"/>
                <w:szCs w:val="20"/>
              </w:rPr>
              <w:t>water conservation,</w:t>
            </w:r>
          </w:p>
          <w:p w14:paraId="211BE320" w14:textId="77777777" w:rsidR="00BA11F7" w:rsidRPr="00822676" w:rsidRDefault="00BA11F7" w:rsidP="00BA11F7">
            <w:pPr>
              <w:numPr>
                <w:ilvl w:val="0"/>
                <w:numId w:val="4"/>
              </w:numPr>
              <w:overflowPunct w:val="0"/>
              <w:autoSpaceDE w:val="0"/>
              <w:autoSpaceDN w:val="0"/>
              <w:adjustRightInd w:val="0"/>
              <w:textAlignment w:val="baseline"/>
              <w:rPr>
                <w:rFonts w:ascii="Arial" w:hAnsi="Arial" w:cs="Arial"/>
                <w:sz w:val="20"/>
                <w:szCs w:val="20"/>
              </w:rPr>
            </w:pPr>
            <w:r w:rsidRPr="00822676">
              <w:rPr>
                <w:rFonts w:ascii="Arial" w:hAnsi="Arial" w:cs="Arial"/>
                <w:sz w:val="20"/>
                <w:szCs w:val="20"/>
              </w:rPr>
              <w:t xml:space="preserve">waste avoidance, reuse and recycling, </w:t>
            </w:r>
          </w:p>
          <w:p w14:paraId="45E51951" w14:textId="77777777" w:rsidR="00BA11F7" w:rsidRPr="00822676" w:rsidRDefault="00BA11F7" w:rsidP="00BA11F7">
            <w:pPr>
              <w:numPr>
                <w:ilvl w:val="0"/>
                <w:numId w:val="4"/>
              </w:numPr>
              <w:overflowPunct w:val="0"/>
              <w:autoSpaceDE w:val="0"/>
              <w:autoSpaceDN w:val="0"/>
              <w:adjustRightInd w:val="0"/>
              <w:textAlignment w:val="baseline"/>
              <w:rPr>
                <w:rFonts w:ascii="Arial" w:hAnsi="Arial" w:cs="Arial"/>
                <w:sz w:val="20"/>
                <w:szCs w:val="20"/>
              </w:rPr>
            </w:pPr>
            <w:r w:rsidRPr="00822676">
              <w:rPr>
                <w:rFonts w:ascii="Arial" w:hAnsi="Arial" w:cs="Arial"/>
                <w:sz w:val="20"/>
                <w:szCs w:val="20"/>
              </w:rPr>
              <w:t xml:space="preserve">pollution prevention, </w:t>
            </w:r>
          </w:p>
          <w:p w14:paraId="01091857" w14:textId="77777777" w:rsidR="00BA11F7" w:rsidRPr="00822676" w:rsidRDefault="00BA11F7" w:rsidP="00BA11F7">
            <w:pPr>
              <w:numPr>
                <w:ilvl w:val="0"/>
                <w:numId w:val="4"/>
              </w:numPr>
              <w:overflowPunct w:val="0"/>
              <w:autoSpaceDE w:val="0"/>
              <w:autoSpaceDN w:val="0"/>
              <w:adjustRightInd w:val="0"/>
              <w:textAlignment w:val="baseline"/>
              <w:rPr>
                <w:rFonts w:ascii="Arial" w:hAnsi="Arial" w:cs="Arial"/>
                <w:sz w:val="20"/>
                <w:szCs w:val="20"/>
              </w:rPr>
            </w:pPr>
            <w:r w:rsidRPr="00822676">
              <w:rPr>
                <w:rFonts w:ascii="Arial" w:hAnsi="Arial" w:cs="Arial"/>
                <w:sz w:val="20"/>
                <w:szCs w:val="20"/>
              </w:rPr>
              <w:t xml:space="preserve">enhanced biodiversity, </w:t>
            </w:r>
          </w:p>
          <w:p w14:paraId="54F761E6" w14:textId="77777777" w:rsidR="00BA11F7" w:rsidRPr="00822676" w:rsidRDefault="00BA11F7" w:rsidP="00BA11F7">
            <w:pPr>
              <w:numPr>
                <w:ilvl w:val="0"/>
                <w:numId w:val="4"/>
              </w:numPr>
              <w:overflowPunct w:val="0"/>
              <w:autoSpaceDE w:val="0"/>
              <w:autoSpaceDN w:val="0"/>
              <w:adjustRightInd w:val="0"/>
              <w:textAlignment w:val="baseline"/>
              <w:rPr>
                <w:rFonts w:ascii="Arial" w:hAnsi="Arial" w:cs="Arial"/>
                <w:sz w:val="20"/>
                <w:szCs w:val="20"/>
              </w:rPr>
            </w:pPr>
            <w:r w:rsidRPr="00822676">
              <w:rPr>
                <w:rFonts w:ascii="Arial" w:hAnsi="Arial" w:cs="Arial"/>
                <w:sz w:val="20"/>
                <w:szCs w:val="20"/>
              </w:rPr>
              <w:t xml:space="preserve">reduced natural resource consumption, </w:t>
            </w:r>
          </w:p>
          <w:p w14:paraId="31739969" w14:textId="77777777" w:rsidR="00BA11F7" w:rsidRPr="00822676" w:rsidRDefault="00BA11F7" w:rsidP="00BA11F7">
            <w:pPr>
              <w:numPr>
                <w:ilvl w:val="0"/>
                <w:numId w:val="4"/>
              </w:numPr>
              <w:overflowPunct w:val="0"/>
              <w:autoSpaceDE w:val="0"/>
              <w:autoSpaceDN w:val="0"/>
              <w:adjustRightInd w:val="0"/>
              <w:textAlignment w:val="baseline"/>
              <w:rPr>
                <w:rFonts w:ascii="Arial" w:hAnsi="Arial" w:cs="Arial"/>
                <w:sz w:val="20"/>
                <w:szCs w:val="20"/>
              </w:rPr>
            </w:pPr>
            <w:r w:rsidRPr="00822676">
              <w:rPr>
                <w:rFonts w:ascii="Arial" w:hAnsi="Arial" w:cs="Arial"/>
                <w:sz w:val="20"/>
                <w:szCs w:val="20"/>
              </w:rPr>
              <w:lastRenderedPageBreak/>
              <w:t xml:space="preserve">productive and healthier environments, </w:t>
            </w:r>
          </w:p>
          <w:p w14:paraId="3AD122D1" w14:textId="77777777" w:rsidR="00BA11F7" w:rsidRPr="00822676" w:rsidRDefault="00BA11F7" w:rsidP="00BA11F7">
            <w:pPr>
              <w:numPr>
                <w:ilvl w:val="0"/>
                <w:numId w:val="4"/>
              </w:numPr>
              <w:overflowPunct w:val="0"/>
              <w:autoSpaceDE w:val="0"/>
              <w:autoSpaceDN w:val="0"/>
              <w:adjustRightInd w:val="0"/>
              <w:textAlignment w:val="baseline"/>
              <w:rPr>
                <w:rFonts w:ascii="Arial" w:hAnsi="Arial" w:cs="Arial"/>
                <w:sz w:val="20"/>
                <w:szCs w:val="20"/>
              </w:rPr>
            </w:pPr>
            <w:r w:rsidRPr="00822676">
              <w:rPr>
                <w:rFonts w:ascii="Arial" w:hAnsi="Arial" w:cs="Arial"/>
                <w:sz w:val="20"/>
                <w:szCs w:val="20"/>
              </w:rPr>
              <w:t>flexible and adaptable spaces.</w:t>
            </w:r>
          </w:p>
        </w:tc>
        <w:tc>
          <w:tcPr>
            <w:tcW w:w="3403" w:type="dxa"/>
          </w:tcPr>
          <w:p w14:paraId="7AD442A6" w14:textId="09FAC7F4" w:rsidR="00BA11F7" w:rsidRPr="00822676" w:rsidRDefault="00BA11F7" w:rsidP="00602F7C">
            <w:pPr>
              <w:overflowPunct w:val="0"/>
              <w:autoSpaceDE w:val="0"/>
              <w:autoSpaceDN w:val="0"/>
              <w:adjustRightInd w:val="0"/>
              <w:jc w:val="both"/>
              <w:textAlignment w:val="baseline"/>
              <w:rPr>
                <w:rFonts w:ascii="Arial" w:hAnsi="Arial" w:cs="Arial"/>
                <w:b/>
                <w:sz w:val="20"/>
                <w:szCs w:val="20"/>
              </w:rPr>
            </w:pPr>
            <w:r w:rsidRPr="00822676">
              <w:rPr>
                <w:rFonts w:ascii="Arial" w:hAnsi="Arial" w:cs="Arial"/>
                <w:sz w:val="20"/>
                <w:szCs w:val="20"/>
              </w:rPr>
              <w:lastRenderedPageBreak/>
              <w:t>Considered in the DA submission, Further details could be provided with the DA’s for the future operational</w:t>
            </w:r>
            <w:r w:rsidR="00602F7C" w:rsidRPr="00822676">
              <w:rPr>
                <w:rFonts w:ascii="Arial" w:hAnsi="Arial" w:cs="Arial"/>
                <w:sz w:val="20"/>
                <w:szCs w:val="20"/>
              </w:rPr>
              <w:t xml:space="preserve"> </w:t>
            </w:r>
            <w:r w:rsidRPr="00822676">
              <w:rPr>
                <w:rFonts w:ascii="Arial" w:hAnsi="Arial" w:cs="Arial"/>
                <w:sz w:val="20"/>
                <w:szCs w:val="20"/>
              </w:rPr>
              <w:t>stages of the development.</w:t>
            </w:r>
          </w:p>
        </w:tc>
        <w:tc>
          <w:tcPr>
            <w:tcW w:w="1350" w:type="dxa"/>
          </w:tcPr>
          <w:p w14:paraId="3C0DCC6C" w14:textId="77777777" w:rsidR="00BA11F7" w:rsidRPr="00822676" w:rsidRDefault="00BA11F7" w:rsidP="00B078FB">
            <w:pPr>
              <w:overflowPunct w:val="0"/>
              <w:autoSpaceDE w:val="0"/>
              <w:autoSpaceDN w:val="0"/>
              <w:adjustRightInd w:val="0"/>
              <w:textAlignment w:val="baseline"/>
              <w:rPr>
                <w:rFonts w:ascii="Arial" w:hAnsi="Arial" w:cs="Arial"/>
                <w:sz w:val="20"/>
                <w:szCs w:val="20"/>
              </w:rPr>
            </w:pPr>
            <w:r w:rsidRPr="00822676">
              <w:rPr>
                <w:rFonts w:ascii="Arial" w:hAnsi="Arial" w:cs="Arial"/>
                <w:sz w:val="20"/>
                <w:szCs w:val="20"/>
              </w:rPr>
              <w:t>Capable of compliance</w:t>
            </w:r>
          </w:p>
        </w:tc>
      </w:tr>
      <w:tr w:rsidR="00BA11F7" w:rsidRPr="00822676" w14:paraId="0954A96C" w14:textId="77777777" w:rsidTr="00602F7C">
        <w:tc>
          <w:tcPr>
            <w:tcW w:w="4389" w:type="dxa"/>
          </w:tcPr>
          <w:p w14:paraId="4C52335F" w14:textId="77777777" w:rsidR="00BA11F7" w:rsidRPr="00822676" w:rsidRDefault="00BA11F7" w:rsidP="00BA11F7">
            <w:pPr>
              <w:numPr>
                <w:ilvl w:val="0"/>
                <w:numId w:val="5"/>
              </w:numPr>
              <w:overflowPunct w:val="0"/>
              <w:autoSpaceDE w:val="0"/>
              <w:autoSpaceDN w:val="0"/>
              <w:adjustRightInd w:val="0"/>
              <w:textAlignment w:val="baseline"/>
              <w:rPr>
                <w:rFonts w:ascii="Arial" w:hAnsi="Arial" w:cs="Arial"/>
                <w:sz w:val="20"/>
                <w:szCs w:val="20"/>
              </w:rPr>
            </w:pPr>
            <w:r w:rsidRPr="00822676">
              <w:rPr>
                <w:rFonts w:ascii="Arial" w:hAnsi="Arial" w:cs="Arial"/>
                <w:sz w:val="20"/>
                <w:szCs w:val="20"/>
              </w:rPr>
              <w:t>design excellence, including a high standard of expertise in urban and landscape design, interior design, construction and historic preservation,</w:t>
            </w:r>
          </w:p>
        </w:tc>
        <w:tc>
          <w:tcPr>
            <w:tcW w:w="3403" w:type="dxa"/>
          </w:tcPr>
          <w:p w14:paraId="61174018" w14:textId="3CC8D1DE" w:rsidR="00BA11F7" w:rsidRPr="00822676" w:rsidRDefault="00BA11F7" w:rsidP="00076099">
            <w:pPr>
              <w:overflowPunct w:val="0"/>
              <w:autoSpaceDE w:val="0"/>
              <w:autoSpaceDN w:val="0"/>
              <w:adjustRightInd w:val="0"/>
              <w:jc w:val="both"/>
              <w:textAlignment w:val="baseline"/>
              <w:rPr>
                <w:rFonts w:ascii="Arial" w:hAnsi="Arial" w:cs="Arial"/>
                <w:sz w:val="20"/>
                <w:szCs w:val="20"/>
              </w:rPr>
            </w:pPr>
            <w:r w:rsidRPr="00822676">
              <w:rPr>
                <w:rFonts w:ascii="Arial" w:hAnsi="Arial" w:cs="Arial"/>
                <w:sz w:val="20"/>
                <w:szCs w:val="20"/>
              </w:rPr>
              <w:t xml:space="preserve">The current DA </w:t>
            </w:r>
            <w:r w:rsidR="00076099">
              <w:rPr>
                <w:rFonts w:ascii="Arial" w:hAnsi="Arial" w:cs="Arial"/>
                <w:sz w:val="20"/>
                <w:szCs w:val="20"/>
              </w:rPr>
              <w:t>does not address and reso</w:t>
            </w:r>
            <w:r w:rsidR="00AD07FD">
              <w:rPr>
                <w:rFonts w:ascii="Arial" w:hAnsi="Arial" w:cs="Arial"/>
                <w:sz w:val="20"/>
                <w:szCs w:val="20"/>
              </w:rPr>
              <w:t>lve</w:t>
            </w:r>
            <w:r w:rsidR="00076099">
              <w:rPr>
                <w:rFonts w:ascii="Arial" w:hAnsi="Arial" w:cs="Arial"/>
                <w:sz w:val="20"/>
                <w:szCs w:val="20"/>
              </w:rPr>
              <w:t xml:space="preserve"> de</w:t>
            </w:r>
            <w:r w:rsidR="00460B7F">
              <w:rPr>
                <w:rFonts w:ascii="Arial" w:hAnsi="Arial" w:cs="Arial"/>
                <w:sz w:val="20"/>
                <w:szCs w:val="20"/>
              </w:rPr>
              <w:t>s</w:t>
            </w:r>
            <w:r w:rsidR="00076099">
              <w:rPr>
                <w:rFonts w:ascii="Arial" w:hAnsi="Arial" w:cs="Arial"/>
                <w:sz w:val="20"/>
                <w:szCs w:val="20"/>
              </w:rPr>
              <w:t xml:space="preserve">ign excellence provisions adequately. </w:t>
            </w:r>
            <w:bookmarkStart w:id="0" w:name="_GoBack"/>
            <w:bookmarkEnd w:id="0"/>
          </w:p>
        </w:tc>
        <w:tc>
          <w:tcPr>
            <w:tcW w:w="1350" w:type="dxa"/>
          </w:tcPr>
          <w:p w14:paraId="5402C537" w14:textId="77777777" w:rsidR="00BA11F7" w:rsidRPr="00822676" w:rsidRDefault="00BA11F7" w:rsidP="00B078FB">
            <w:pPr>
              <w:overflowPunct w:val="0"/>
              <w:autoSpaceDE w:val="0"/>
              <w:autoSpaceDN w:val="0"/>
              <w:adjustRightInd w:val="0"/>
              <w:textAlignment w:val="baseline"/>
              <w:rPr>
                <w:rFonts w:ascii="Arial" w:hAnsi="Arial" w:cs="Arial"/>
                <w:sz w:val="20"/>
                <w:szCs w:val="20"/>
              </w:rPr>
            </w:pPr>
            <w:r w:rsidRPr="00822676">
              <w:rPr>
                <w:rFonts w:ascii="Arial" w:hAnsi="Arial" w:cs="Arial"/>
                <w:sz w:val="20"/>
                <w:szCs w:val="20"/>
              </w:rPr>
              <w:t xml:space="preserve">No </w:t>
            </w:r>
          </w:p>
        </w:tc>
      </w:tr>
      <w:tr w:rsidR="00BA11F7" w:rsidRPr="00822676" w14:paraId="36A55B19" w14:textId="77777777" w:rsidTr="00602F7C">
        <w:tc>
          <w:tcPr>
            <w:tcW w:w="4389" w:type="dxa"/>
          </w:tcPr>
          <w:p w14:paraId="0FF450EE" w14:textId="77777777" w:rsidR="00BA11F7" w:rsidRPr="00822676" w:rsidRDefault="00BA11F7" w:rsidP="00BA11F7">
            <w:pPr>
              <w:numPr>
                <w:ilvl w:val="0"/>
                <w:numId w:val="5"/>
              </w:numPr>
              <w:overflowPunct w:val="0"/>
              <w:autoSpaceDE w:val="0"/>
              <w:autoSpaceDN w:val="0"/>
              <w:adjustRightInd w:val="0"/>
              <w:textAlignment w:val="baseline"/>
              <w:rPr>
                <w:rFonts w:ascii="Arial" w:hAnsi="Arial" w:cs="Arial"/>
                <w:sz w:val="20"/>
                <w:szCs w:val="20"/>
              </w:rPr>
            </w:pPr>
            <w:r w:rsidRPr="00822676">
              <w:rPr>
                <w:rFonts w:ascii="Arial" w:hAnsi="Arial" w:cs="Arial"/>
                <w:sz w:val="20"/>
                <w:szCs w:val="20"/>
              </w:rPr>
              <w:t>a high standard of architectural design, materials, unique facade treatment and detailing appropriate to the type and location of the development,</w:t>
            </w:r>
          </w:p>
        </w:tc>
        <w:tc>
          <w:tcPr>
            <w:tcW w:w="3403" w:type="dxa"/>
          </w:tcPr>
          <w:p w14:paraId="2AD172E2" w14:textId="69178E57" w:rsidR="00BA11F7" w:rsidRPr="00822676" w:rsidRDefault="00BA11F7" w:rsidP="00B078FB">
            <w:pPr>
              <w:overflowPunct w:val="0"/>
              <w:autoSpaceDE w:val="0"/>
              <w:autoSpaceDN w:val="0"/>
              <w:adjustRightInd w:val="0"/>
              <w:jc w:val="both"/>
              <w:textAlignment w:val="baseline"/>
              <w:rPr>
                <w:rFonts w:ascii="Arial" w:hAnsi="Arial" w:cs="Arial"/>
                <w:sz w:val="20"/>
                <w:szCs w:val="20"/>
              </w:rPr>
            </w:pPr>
            <w:r w:rsidRPr="00822676">
              <w:rPr>
                <w:rFonts w:ascii="Arial" w:hAnsi="Arial" w:cs="Arial"/>
                <w:sz w:val="20"/>
                <w:szCs w:val="20"/>
              </w:rPr>
              <w:t>The concept DA includes a concept materials scheme only. The future DA’s could enable the further resolution of the architecture including the façade details for the podium levels and the materials and finishes for the building</w:t>
            </w:r>
          </w:p>
        </w:tc>
        <w:tc>
          <w:tcPr>
            <w:tcW w:w="1350" w:type="dxa"/>
          </w:tcPr>
          <w:p w14:paraId="40311953" w14:textId="77777777" w:rsidR="00BA11F7" w:rsidRPr="00822676" w:rsidRDefault="00BA11F7" w:rsidP="00B078FB">
            <w:pPr>
              <w:overflowPunct w:val="0"/>
              <w:autoSpaceDE w:val="0"/>
              <w:autoSpaceDN w:val="0"/>
              <w:adjustRightInd w:val="0"/>
              <w:textAlignment w:val="baseline"/>
              <w:rPr>
                <w:rFonts w:ascii="Arial" w:hAnsi="Arial" w:cs="Arial"/>
                <w:sz w:val="20"/>
                <w:szCs w:val="20"/>
              </w:rPr>
            </w:pPr>
            <w:r w:rsidRPr="00822676">
              <w:rPr>
                <w:rFonts w:ascii="Arial" w:hAnsi="Arial" w:cs="Arial"/>
                <w:sz w:val="20"/>
                <w:szCs w:val="20"/>
              </w:rPr>
              <w:t>Capable of compliance</w:t>
            </w:r>
          </w:p>
        </w:tc>
      </w:tr>
      <w:tr w:rsidR="00BA11F7" w:rsidRPr="00822676" w14:paraId="1CA35A58" w14:textId="77777777" w:rsidTr="00602F7C">
        <w:tc>
          <w:tcPr>
            <w:tcW w:w="4389" w:type="dxa"/>
          </w:tcPr>
          <w:p w14:paraId="00A48EAD" w14:textId="77777777" w:rsidR="00BA11F7" w:rsidRPr="00822676" w:rsidRDefault="00BA11F7" w:rsidP="00BA11F7">
            <w:pPr>
              <w:numPr>
                <w:ilvl w:val="0"/>
                <w:numId w:val="5"/>
              </w:numPr>
              <w:overflowPunct w:val="0"/>
              <w:autoSpaceDE w:val="0"/>
              <w:autoSpaceDN w:val="0"/>
              <w:adjustRightInd w:val="0"/>
              <w:textAlignment w:val="baseline"/>
              <w:rPr>
                <w:rFonts w:ascii="Arial" w:hAnsi="Arial" w:cs="Arial"/>
                <w:sz w:val="20"/>
                <w:szCs w:val="20"/>
              </w:rPr>
            </w:pPr>
            <w:r w:rsidRPr="00822676">
              <w:rPr>
                <w:rFonts w:ascii="Arial" w:hAnsi="Arial" w:cs="Arial"/>
                <w:sz w:val="20"/>
                <w:szCs w:val="20"/>
              </w:rPr>
              <w:t>encouraging sustainable transport, including increased use of public transport, walking and cycling,</w:t>
            </w:r>
          </w:p>
        </w:tc>
        <w:tc>
          <w:tcPr>
            <w:tcW w:w="3403" w:type="dxa"/>
          </w:tcPr>
          <w:p w14:paraId="440225FD" w14:textId="591E0F24" w:rsidR="00BA11F7" w:rsidRPr="00822676" w:rsidRDefault="00BA11F7" w:rsidP="00B078FB">
            <w:pPr>
              <w:overflowPunct w:val="0"/>
              <w:autoSpaceDE w:val="0"/>
              <w:autoSpaceDN w:val="0"/>
              <w:adjustRightInd w:val="0"/>
              <w:jc w:val="both"/>
              <w:textAlignment w:val="baseline"/>
              <w:rPr>
                <w:rFonts w:ascii="Arial" w:hAnsi="Arial" w:cs="Arial"/>
                <w:sz w:val="20"/>
                <w:szCs w:val="20"/>
              </w:rPr>
            </w:pPr>
            <w:r w:rsidRPr="00822676">
              <w:rPr>
                <w:rFonts w:ascii="Arial" w:hAnsi="Arial" w:cs="Arial"/>
                <w:sz w:val="20"/>
                <w:szCs w:val="20"/>
              </w:rPr>
              <w:t>The concept DA provides no specific details of sustainable transport.  The development of new housing in a</w:t>
            </w:r>
            <w:r w:rsidR="00AD07FD">
              <w:rPr>
                <w:rFonts w:ascii="Arial" w:hAnsi="Arial" w:cs="Arial"/>
                <w:sz w:val="20"/>
                <w:szCs w:val="20"/>
              </w:rPr>
              <w:t>n</w:t>
            </w:r>
            <w:r w:rsidRPr="00822676">
              <w:rPr>
                <w:rFonts w:ascii="Arial" w:hAnsi="Arial" w:cs="Arial"/>
                <w:sz w:val="20"/>
                <w:szCs w:val="20"/>
              </w:rPr>
              <w:t xml:space="preserve"> accessible location will of itself encourage sustainable transport. </w:t>
            </w:r>
          </w:p>
        </w:tc>
        <w:tc>
          <w:tcPr>
            <w:tcW w:w="1350" w:type="dxa"/>
          </w:tcPr>
          <w:p w14:paraId="21783C05" w14:textId="77777777" w:rsidR="00BA11F7" w:rsidRPr="00822676" w:rsidRDefault="00BA11F7" w:rsidP="00B078FB">
            <w:pPr>
              <w:overflowPunct w:val="0"/>
              <w:autoSpaceDE w:val="0"/>
              <w:autoSpaceDN w:val="0"/>
              <w:adjustRightInd w:val="0"/>
              <w:textAlignment w:val="baseline"/>
              <w:rPr>
                <w:rFonts w:ascii="Arial" w:hAnsi="Arial" w:cs="Arial"/>
                <w:sz w:val="20"/>
                <w:szCs w:val="20"/>
              </w:rPr>
            </w:pPr>
            <w:r w:rsidRPr="00822676">
              <w:rPr>
                <w:rFonts w:ascii="Arial" w:hAnsi="Arial" w:cs="Arial"/>
                <w:sz w:val="20"/>
                <w:szCs w:val="20"/>
              </w:rPr>
              <w:t>Capable of compliance</w:t>
            </w:r>
          </w:p>
        </w:tc>
      </w:tr>
      <w:tr w:rsidR="00BA11F7" w:rsidRPr="00822676" w14:paraId="6B26FAA9" w14:textId="77777777" w:rsidTr="00602F7C">
        <w:tc>
          <w:tcPr>
            <w:tcW w:w="4389" w:type="dxa"/>
          </w:tcPr>
          <w:p w14:paraId="41CDA33B" w14:textId="77777777" w:rsidR="00BA11F7" w:rsidRPr="00822676" w:rsidRDefault="00BA11F7" w:rsidP="00BA11F7">
            <w:pPr>
              <w:numPr>
                <w:ilvl w:val="0"/>
                <w:numId w:val="5"/>
              </w:numPr>
              <w:overflowPunct w:val="0"/>
              <w:autoSpaceDE w:val="0"/>
              <w:autoSpaceDN w:val="0"/>
              <w:adjustRightInd w:val="0"/>
              <w:textAlignment w:val="baseline"/>
              <w:rPr>
                <w:rFonts w:ascii="Arial" w:hAnsi="Arial" w:cs="Arial"/>
                <w:sz w:val="20"/>
                <w:szCs w:val="20"/>
              </w:rPr>
            </w:pPr>
            <w:r w:rsidRPr="00822676">
              <w:rPr>
                <w:rFonts w:ascii="Arial" w:hAnsi="Arial" w:cs="Arial"/>
                <w:sz w:val="20"/>
                <w:szCs w:val="20"/>
              </w:rPr>
              <w:t>road access, including the circulation network and the provision of car parking</w:t>
            </w:r>
          </w:p>
        </w:tc>
        <w:tc>
          <w:tcPr>
            <w:tcW w:w="3403" w:type="dxa"/>
          </w:tcPr>
          <w:p w14:paraId="443E2944" w14:textId="4ABD3EC6" w:rsidR="00BA11F7" w:rsidRPr="00822676" w:rsidRDefault="00076099" w:rsidP="008D06BE">
            <w:pPr>
              <w:overflowPunct w:val="0"/>
              <w:autoSpaceDE w:val="0"/>
              <w:autoSpaceDN w:val="0"/>
              <w:adjustRightInd w:val="0"/>
              <w:jc w:val="both"/>
              <w:textAlignment w:val="baseline"/>
              <w:rPr>
                <w:rFonts w:ascii="Arial" w:eastAsia="Times New Roman" w:hAnsi="Arial" w:cs="Arial"/>
                <w:sz w:val="20"/>
                <w:szCs w:val="20"/>
              </w:rPr>
            </w:pPr>
            <w:r>
              <w:rPr>
                <w:rFonts w:ascii="Arial" w:eastAsia="Times New Roman" w:hAnsi="Arial" w:cs="Arial"/>
                <w:sz w:val="20"/>
                <w:szCs w:val="20"/>
              </w:rPr>
              <w:t xml:space="preserve">Road access is provided in accordance </w:t>
            </w:r>
            <w:proofErr w:type="gramStart"/>
            <w:r>
              <w:rPr>
                <w:rFonts w:ascii="Arial" w:eastAsia="Times New Roman" w:hAnsi="Arial" w:cs="Arial"/>
                <w:sz w:val="20"/>
                <w:szCs w:val="20"/>
              </w:rPr>
              <w:t xml:space="preserve">with </w:t>
            </w:r>
            <w:r w:rsidR="00BA11F7" w:rsidRPr="00822676">
              <w:rPr>
                <w:rFonts w:ascii="Arial" w:eastAsia="Times New Roman" w:hAnsi="Arial" w:cs="Arial"/>
                <w:sz w:val="20"/>
                <w:szCs w:val="20"/>
              </w:rPr>
              <w:t xml:space="preserve"> </w:t>
            </w:r>
            <w:r>
              <w:rPr>
                <w:rFonts w:ascii="Arial" w:eastAsia="Times New Roman" w:hAnsi="Arial" w:cs="Arial"/>
                <w:sz w:val="20"/>
                <w:szCs w:val="20"/>
              </w:rPr>
              <w:t>WDCP</w:t>
            </w:r>
            <w:proofErr w:type="gramEnd"/>
            <w:r w:rsidR="00AD07FD">
              <w:rPr>
                <w:rFonts w:ascii="Arial" w:eastAsia="Times New Roman" w:hAnsi="Arial" w:cs="Arial"/>
                <w:sz w:val="20"/>
                <w:szCs w:val="20"/>
              </w:rPr>
              <w:t>.</w:t>
            </w:r>
            <w:r>
              <w:rPr>
                <w:rFonts w:ascii="Arial" w:eastAsia="Times New Roman" w:hAnsi="Arial" w:cs="Arial"/>
                <w:sz w:val="20"/>
                <w:szCs w:val="20"/>
              </w:rPr>
              <w:t xml:space="preserve">  Minor under provision of parking proposed that could be increased. </w:t>
            </w:r>
          </w:p>
        </w:tc>
        <w:tc>
          <w:tcPr>
            <w:tcW w:w="1350" w:type="dxa"/>
          </w:tcPr>
          <w:p w14:paraId="1FC1DC23" w14:textId="2E3154AC" w:rsidR="00BA11F7" w:rsidRPr="00822676" w:rsidRDefault="00076099" w:rsidP="00B078FB">
            <w:pPr>
              <w:overflowPunct w:val="0"/>
              <w:autoSpaceDE w:val="0"/>
              <w:autoSpaceDN w:val="0"/>
              <w:adjustRightInd w:val="0"/>
              <w:textAlignment w:val="baseline"/>
              <w:rPr>
                <w:rFonts w:ascii="Arial" w:hAnsi="Arial" w:cs="Arial"/>
                <w:sz w:val="20"/>
                <w:szCs w:val="20"/>
              </w:rPr>
            </w:pPr>
            <w:r>
              <w:rPr>
                <w:rFonts w:ascii="Arial" w:hAnsi="Arial" w:cs="Arial"/>
                <w:sz w:val="20"/>
                <w:szCs w:val="20"/>
              </w:rPr>
              <w:t xml:space="preserve">No/ Capable of compliance </w:t>
            </w:r>
          </w:p>
        </w:tc>
      </w:tr>
      <w:tr w:rsidR="00BA11F7" w:rsidRPr="00822676" w14:paraId="6861EFB3" w14:textId="77777777" w:rsidTr="00602F7C">
        <w:tc>
          <w:tcPr>
            <w:tcW w:w="4389" w:type="dxa"/>
          </w:tcPr>
          <w:p w14:paraId="516B1E54" w14:textId="77777777" w:rsidR="00BA11F7" w:rsidRPr="00822676" w:rsidRDefault="00BA11F7" w:rsidP="00BA11F7">
            <w:pPr>
              <w:numPr>
                <w:ilvl w:val="0"/>
                <w:numId w:val="5"/>
              </w:numPr>
              <w:overflowPunct w:val="0"/>
              <w:autoSpaceDE w:val="0"/>
              <w:autoSpaceDN w:val="0"/>
              <w:adjustRightInd w:val="0"/>
              <w:textAlignment w:val="baseline"/>
              <w:rPr>
                <w:rFonts w:ascii="Arial" w:hAnsi="Arial" w:cs="Arial"/>
                <w:sz w:val="20"/>
                <w:szCs w:val="20"/>
              </w:rPr>
            </w:pPr>
            <w:r w:rsidRPr="00822676">
              <w:rPr>
                <w:rFonts w:ascii="Arial" w:hAnsi="Arial" w:cs="Arial"/>
                <w:sz w:val="20"/>
                <w:szCs w:val="20"/>
              </w:rPr>
              <w:t>the impact on, and improvements to, the public domain,</w:t>
            </w:r>
          </w:p>
        </w:tc>
        <w:tc>
          <w:tcPr>
            <w:tcW w:w="3403" w:type="dxa"/>
          </w:tcPr>
          <w:p w14:paraId="15775CF4" w14:textId="754E12CD" w:rsidR="00BA11F7" w:rsidRPr="00076099" w:rsidRDefault="00BA11F7" w:rsidP="00B078FB">
            <w:pPr>
              <w:overflowPunct w:val="0"/>
              <w:autoSpaceDE w:val="0"/>
              <w:autoSpaceDN w:val="0"/>
              <w:adjustRightInd w:val="0"/>
              <w:jc w:val="both"/>
              <w:textAlignment w:val="baseline"/>
              <w:rPr>
                <w:rFonts w:ascii="Arial" w:eastAsia="Times New Roman" w:hAnsi="Arial" w:cs="Arial"/>
                <w:sz w:val="20"/>
                <w:szCs w:val="20"/>
              </w:rPr>
            </w:pPr>
            <w:r w:rsidRPr="00076099">
              <w:rPr>
                <w:rFonts w:ascii="Arial" w:eastAsia="Times New Roman" w:hAnsi="Arial" w:cs="Arial"/>
                <w:sz w:val="20"/>
                <w:szCs w:val="20"/>
              </w:rPr>
              <w:t xml:space="preserve">The concept DA includes a public domain </w:t>
            </w:r>
            <w:proofErr w:type="gramStart"/>
            <w:r w:rsidRPr="00076099">
              <w:rPr>
                <w:rFonts w:ascii="Arial" w:eastAsia="Times New Roman" w:hAnsi="Arial" w:cs="Arial"/>
                <w:sz w:val="20"/>
                <w:szCs w:val="20"/>
              </w:rPr>
              <w:t>improvements</w:t>
            </w:r>
            <w:proofErr w:type="gramEnd"/>
            <w:r w:rsidR="00076099" w:rsidRPr="00076099">
              <w:rPr>
                <w:rFonts w:ascii="Arial" w:eastAsia="Times New Roman" w:hAnsi="Arial" w:cs="Arial"/>
                <w:sz w:val="20"/>
                <w:szCs w:val="20"/>
              </w:rPr>
              <w:t xml:space="preserve">.  Matters raised in the urban design assessment indicate </w:t>
            </w:r>
            <w:r w:rsidR="0077353E" w:rsidRPr="00076099">
              <w:rPr>
                <w:rFonts w:ascii="Arial" w:eastAsia="Times New Roman" w:hAnsi="Arial" w:cs="Arial"/>
                <w:sz w:val="20"/>
                <w:szCs w:val="20"/>
              </w:rPr>
              <w:t>unacceptable</w:t>
            </w:r>
            <w:r w:rsidR="00076099" w:rsidRPr="00076099">
              <w:rPr>
                <w:rFonts w:ascii="Arial" w:eastAsia="Times New Roman" w:hAnsi="Arial" w:cs="Arial"/>
                <w:sz w:val="20"/>
                <w:szCs w:val="20"/>
              </w:rPr>
              <w:t xml:space="preserve"> outcomes.  </w:t>
            </w:r>
            <w:r w:rsidRPr="00076099">
              <w:rPr>
                <w:rFonts w:ascii="Arial" w:eastAsia="Times New Roman" w:hAnsi="Arial" w:cs="Arial"/>
                <w:sz w:val="20"/>
                <w:szCs w:val="20"/>
              </w:rPr>
              <w:t xml:space="preserve">The works proposed are inconsistent with WDCP. </w:t>
            </w:r>
          </w:p>
        </w:tc>
        <w:tc>
          <w:tcPr>
            <w:tcW w:w="1350" w:type="dxa"/>
          </w:tcPr>
          <w:p w14:paraId="1F35A75A" w14:textId="77777777" w:rsidR="00BA11F7" w:rsidRPr="00822676" w:rsidRDefault="00BA11F7" w:rsidP="00B078FB">
            <w:pPr>
              <w:overflowPunct w:val="0"/>
              <w:autoSpaceDE w:val="0"/>
              <w:autoSpaceDN w:val="0"/>
              <w:adjustRightInd w:val="0"/>
              <w:textAlignment w:val="baseline"/>
              <w:rPr>
                <w:rFonts w:ascii="Arial" w:hAnsi="Arial" w:cs="Arial"/>
                <w:sz w:val="20"/>
                <w:szCs w:val="20"/>
              </w:rPr>
            </w:pPr>
            <w:r w:rsidRPr="00822676">
              <w:rPr>
                <w:rFonts w:ascii="Arial" w:hAnsi="Arial" w:cs="Arial"/>
                <w:sz w:val="20"/>
                <w:szCs w:val="20"/>
              </w:rPr>
              <w:t>No</w:t>
            </w:r>
          </w:p>
        </w:tc>
      </w:tr>
      <w:tr w:rsidR="00BA11F7" w:rsidRPr="00822676" w14:paraId="6B0D74DF" w14:textId="77777777" w:rsidTr="00602F7C">
        <w:tc>
          <w:tcPr>
            <w:tcW w:w="4389" w:type="dxa"/>
          </w:tcPr>
          <w:p w14:paraId="10359539" w14:textId="77777777" w:rsidR="00BA11F7" w:rsidRPr="00822676" w:rsidRDefault="00BA11F7" w:rsidP="00BA11F7">
            <w:pPr>
              <w:numPr>
                <w:ilvl w:val="0"/>
                <w:numId w:val="5"/>
              </w:numPr>
              <w:overflowPunct w:val="0"/>
              <w:autoSpaceDE w:val="0"/>
              <w:autoSpaceDN w:val="0"/>
              <w:adjustRightInd w:val="0"/>
              <w:textAlignment w:val="baseline"/>
              <w:rPr>
                <w:rFonts w:ascii="Arial" w:hAnsi="Arial" w:cs="Arial"/>
                <w:sz w:val="20"/>
                <w:szCs w:val="20"/>
              </w:rPr>
            </w:pPr>
            <w:r w:rsidRPr="00822676">
              <w:rPr>
                <w:rFonts w:ascii="Arial" w:hAnsi="Arial" w:cs="Arial"/>
                <w:sz w:val="20"/>
                <w:szCs w:val="20"/>
              </w:rPr>
              <w:t xml:space="preserve">environmental constraints, including acid </w:t>
            </w:r>
            <w:proofErr w:type="spellStart"/>
            <w:r w:rsidRPr="00822676">
              <w:rPr>
                <w:rFonts w:ascii="Arial" w:hAnsi="Arial" w:cs="Arial"/>
                <w:sz w:val="20"/>
                <w:szCs w:val="20"/>
              </w:rPr>
              <w:t>sulfate</w:t>
            </w:r>
            <w:proofErr w:type="spellEnd"/>
            <w:r w:rsidRPr="00822676">
              <w:rPr>
                <w:rFonts w:ascii="Arial" w:hAnsi="Arial" w:cs="Arial"/>
                <w:sz w:val="20"/>
                <w:szCs w:val="20"/>
              </w:rPr>
              <w:t xml:space="preserve"> soils, flooding, contamination and remediation</w:t>
            </w:r>
          </w:p>
        </w:tc>
        <w:tc>
          <w:tcPr>
            <w:tcW w:w="3403" w:type="dxa"/>
          </w:tcPr>
          <w:p w14:paraId="72AA7476" w14:textId="7CF775C5" w:rsidR="00BA11F7" w:rsidRPr="00822676" w:rsidRDefault="00BA11F7" w:rsidP="00B078FB">
            <w:pPr>
              <w:overflowPunct w:val="0"/>
              <w:autoSpaceDE w:val="0"/>
              <w:autoSpaceDN w:val="0"/>
              <w:adjustRightInd w:val="0"/>
              <w:jc w:val="both"/>
              <w:textAlignment w:val="baseline"/>
              <w:rPr>
                <w:rFonts w:ascii="Arial" w:eastAsia="Times New Roman" w:hAnsi="Arial" w:cs="Arial"/>
                <w:sz w:val="20"/>
                <w:szCs w:val="20"/>
              </w:rPr>
            </w:pPr>
            <w:r w:rsidRPr="00822676">
              <w:rPr>
                <w:rFonts w:ascii="Arial" w:eastAsia="Times New Roman" w:hAnsi="Arial" w:cs="Arial"/>
                <w:sz w:val="20"/>
                <w:szCs w:val="20"/>
              </w:rPr>
              <w:t xml:space="preserve">The identified environmental constraints are not such that would render the site as unsuitable for the development.  The DA </w:t>
            </w:r>
            <w:r w:rsidR="00460B7F">
              <w:rPr>
                <w:rFonts w:ascii="Arial" w:eastAsia="Times New Roman" w:hAnsi="Arial" w:cs="Arial"/>
                <w:sz w:val="20"/>
                <w:szCs w:val="20"/>
              </w:rPr>
              <w:t xml:space="preserve">is </w:t>
            </w:r>
            <w:r w:rsidRPr="00822676">
              <w:rPr>
                <w:rFonts w:ascii="Arial" w:eastAsia="Times New Roman" w:hAnsi="Arial" w:cs="Arial"/>
                <w:sz w:val="20"/>
                <w:szCs w:val="20"/>
              </w:rPr>
              <w:t xml:space="preserve">for concept approval only and appropriate conditions could </w:t>
            </w:r>
            <w:r w:rsidR="00460B7F">
              <w:rPr>
                <w:rFonts w:ascii="Arial" w:eastAsia="Times New Roman" w:hAnsi="Arial" w:cs="Arial"/>
                <w:sz w:val="20"/>
                <w:szCs w:val="20"/>
              </w:rPr>
              <w:t>be</w:t>
            </w:r>
            <w:r w:rsidRPr="00822676">
              <w:rPr>
                <w:rFonts w:ascii="Arial" w:eastAsia="Times New Roman" w:hAnsi="Arial" w:cs="Arial"/>
                <w:sz w:val="20"/>
                <w:szCs w:val="20"/>
              </w:rPr>
              <w:t xml:space="preserve"> </w:t>
            </w:r>
            <w:r w:rsidR="00460B7F" w:rsidRPr="00822676">
              <w:rPr>
                <w:rFonts w:ascii="Arial" w:eastAsia="Times New Roman" w:hAnsi="Arial" w:cs="Arial"/>
                <w:sz w:val="20"/>
                <w:szCs w:val="20"/>
              </w:rPr>
              <w:t>imposed</w:t>
            </w:r>
            <w:r w:rsidRPr="00822676">
              <w:rPr>
                <w:rFonts w:ascii="Arial" w:eastAsia="Times New Roman" w:hAnsi="Arial" w:cs="Arial"/>
                <w:sz w:val="20"/>
                <w:szCs w:val="20"/>
              </w:rPr>
              <w:t xml:space="preserve"> in relation to any relevant environmental constraints requiring further information to be provided with </w:t>
            </w:r>
            <w:r w:rsidR="00076099">
              <w:rPr>
                <w:rFonts w:ascii="Arial" w:eastAsia="Times New Roman" w:hAnsi="Arial" w:cs="Arial"/>
                <w:sz w:val="20"/>
                <w:szCs w:val="20"/>
              </w:rPr>
              <w:t>the</w:t>
            </w:r>
            <w:r w:rsidRPr="00822676">
              <w:rPr>
                <w:rFonts w:ascii="Arial" w:eastAsia="Times New Roman" w:hAnsi="Arial" w:cs="Arial"/>
                <w:sz w:val="20"/>
                <w:szCs w:val="20"/>
              </w:rPr>
              <w:t xml:space="preserve"> DA lodged for the future operational stage of the development.</w:t>
            </w:r>
          </w:p>
        </w:tc>
        <w:tc>
          <w:tcPr>
            <w:tcW w:w="1350" w:type="dxa"/>
          </w:tcPr>
          <w:p w14:paraId="1042BB05" w14:textId="77777777" w:rsidR="00BA11F7" w:rsidRPr="00822676" w:rsidRDefault="00BA11F7" w:rsidP="00B078FB">
            <w:pPr>
              <w:overflowPunct w:val="0"/>
              <w:autoSpaceDE w:val="0"/>
              <w:autoSpaceDN w:val="0"/>
              <w:adjustRightInd w:val="0"/>
              <w:textAlignment w:val="baseline"/>
              <w:rPr>
                <w:rFonts w:ascii="Arial" w:hAnsi="Arial" w:cs="Arial"/>
                <w:sz w:val="20"/>
                <w:szCs w:val="20"/>
              </w:rPr>
            </w:pPr>
            <w:r w:rsidRPr="00822676">
              <w:rPr>
                <w:rFonts w:ascii="Arial" w:hAnsi="Arial" w:cs="Arial"/>
                <w:sz w:val="20"/>
                <w:szCs w:val="20"/>
              </w:rPr>
              <w:t xml:space="preserve">Capable of compliance. </w:t>
            </w:r>
          </w:p>
        </w:tc>
      </w:tr>
    </w:tbl>
    <w:p w14:paraId="7E4988D7" w14:textId="77777777" w:rsidR="00BA11F7" w:rsidRPr="00822676" w:rsidRDefault="00BA11F7" w:rsidP="00BA11F7">
      <w:pPr>
        <w:rPr>
          <w:rFonts w:ascii="Arial" w:hAnsi="Arial" w:cs="Arial"/>
          <w:b/>
          <w:sz w:val="20"/>
          <w:szCs w:val="20"/>
        </w:rPr>
      </w:pPr>
    </w:p>
    <w:p w14:paraId="698FC108" w14:textId="3A7B44AC" w:rsidR="006F14DE" w:rsidRPr="00822676" w:rsidRDefault="006F14DE" w:rsidP="00BA11F7">
      <w:pPr>
        <w:rPr>
          <w:rFonts w:ascii="Arial" w:hAnsi="Arial" w:cs="Arial"/>
        </w:rPr>
      </w:pPr>
    </w:p>
    <w:sectPr w:rsidR="006F14DE" w:rsidRPr="008226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9755C"/>
    <w:multiLevelType w:val="hybridMultilevel"/>
    <w:tmpl w:val="43AA595C"/>
    <w:lvl w:ilvl="0" w:tplc="E65859E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44C63A5"/>
    <w:multiLevelType w:val="hybridMultilevel"/>
    <w:tmpl w:val="6EB4632C"/>
    <w:lvl w:ilvl="0" w:tplc="B4C44D6C">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40A141E"/>
    <w:multiLevelType w:val="hybridMultilevel"/>
    <w:tmpl w:val="00AC168E"/>
    <w:lvl w:ilvl="0" w:tplc="9CFE52D6">
      <w:start w:val="3"/>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76E5B0E"/>
    <w:multiLevelType w:val="hybridMultilevel"/>
    <w:tmpl w:val="43AA595C"/>
    <w:lvl w:ilvl="0" w:tplc="E65859E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B8E1963"/>
    <w:multiLevelType w:val="hybridMultilevel"/>
    <w:tmpl w:val="AB126240"/>
    <w:lvl w:ilvl="0" w:tplc="E7623C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1F7"/>
    <w:rsid w:val="00076099"/>
    <w:rsid w:val="001D188D"/>
    <w:rsid w:val="00460B7F"/>
    <w:rsid w:val="00602F7C"/>
    <w:rsid w:val="006F14DE"/>
    <w:rsid w:val="007061E4"/>
    <w:rsid w:val="0077353E"/>
    <w:rsid w:val="007C316F"/>
    <w:rsid w:val="00822676"/>
    <w:rsid w:val="008D06BE"/>
    <w:rsid w:val="00AD07FD"/>
    <w:rsid w:val="00BA11F7"/>
    <w:rsid w:val="00FD7A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FF9ED"/>
  <w15:chartTrackingRefBased/>
  <w15:docId w15:val="{4A4C6F47-5DB1-48FC-9E38-42D1E8E73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1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06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6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191997FA18BE46AE8605E4B188F5B7" ma:contentTypeVersion="7" ma:contentTypeDescription="Create a new document." ma:contentTypeScope="" ma:versionID="b3f4a788528abecaa9d822dd2af8a2d9">
  <xsd:schema xmlns:xsd="http://www.w3.org/2001/XMLSchema" xmlns:xs="http://www.w3.org/2001/XMLSchema" xmlns:p="http://schemas.microsoft.com/office/2006/metadata/properties" xmlns:ns3="e62e43df-8ad6-433f-abb0-c0a0c1dedca6" targetNamespace="http://schemas.microsoft.com/office/2006/metadata/properties" ma:root="true" ma:fieldsID="5d73be1dcd4342dccee81a4fa1ceab4d" ns3:_="">
    <xsd:import namespace="e62e43df-8ad6-433f-abb0-c0a0c1dedca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2e43df-8ad6-433f-abb0-c0a0c1ded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2B34AD-B3C0-4741-8A9B-4867C65D2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2e43df-8ad6-433f-abb0-c0a0c1ded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B098C0-154D-4B6A-A254-9324005EA233}">
  <ds:schemaRefs>
    <ds:schemaRef ds:uri="http://schemas.microsoft.com/sharepoint/v3/contenttype/forms"/>
  </ds:schemaRefs>
</ds:datastoreItem>
</file>

<file path=customXml/itemProps3.xml><?xml version="1.0" encoding="utf-8"?>
<ds:datastoreItem xmlns:ds="http://schemas.openxmlformats.org/officeDocument/2006/customXml" ds:itemID="{91B68214-E8BB-4DE1-B1A6-C3655F1B58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735</Words>
  <Characters>4195</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Sneyd</dc:creator>
  <cp:keywords/>
  <dc:description/>
  <cp:lastModifiedBy>Shannon Butler</cp:lastModifiedBy>
  <cp:revision>2</cp:revision>
  <dcterms:created xsi:type="dcterms:W3CDTF">2020-10-19T04:43:00Z</dcterms:created>
  <dcterms:modified xsi:type="dcterms:W3CDTF">2020-10-19T04:43:00Z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0x0101009A191997FA18BE46AE8605E4B188F5B7</vt:lpwstr>
  </property>
</Properties>
</file>